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wmf" ContentType="image/x-wmf"/>
  <Override PartName="/word/media/image5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zvegtrzs"/>
        <w:jc w:val="both"/>
        <w:rPr>
          <w:rFonts w:ascii="Times New Roman" w:hAnsi="Times New Roman"/>
        </w:rPr>
      </w:pPr>
      <w:r>
        <w:rPr/>
        <w:drawing>
          <wp:inline distT="0" distB="0" distL="0" distR="0">
            <wp:extent cx="2520315" cy="1353820"/>
            <wp:effectExtent l="0" t="0" r="0" b="0"/>
            <wp:docPr id="2" name="Kép 1" descr="A képen clipart látható&#10;&#10;A leírás teljesen megbíz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 descr="A képen clipart látható&#10;&#10;A leírás teljesen megbízható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margin">
              <wp:posOffset>3114675</wp:posOffset>
            </wp:positionH>
            <wp:positionV relativeFrom="margin">
              <wp:posOffset>-7620</wp:posOffset>
            </wp:positionV>
            <wp:extent cx="3176905" cy="1478280"/>
            <wp:effectExtent l="0" t="0" r="0" b="0"/>
            <wp:wrapSquare wrapText="bothSides"/>
            <wp:docPr id="1" name="Kép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zvegtrzs"/>
        <w:spacing w:before="5" w:after="0"/>
        <w:jc w:val="both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0"/>
        </w:rPr>
      </w:r>
    </w:p>
    <w:p>
      <w:pPr>
        <w:pStyle w:val="Szvegtrzs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page">
                  <wp:posOffset>539750</wp:posOffset>
                </wp:positionH>
                <wp:positionV relativeFrom="paragraph">
                  <wp:posOffset>44450</wp:posOffset>
                </wp:positionV>
                <wp:extent cx="4550410" cy="1270"/>
                <wp:effectExtent l="0" t="0" r="0" b="0"/>
                <wp:wrapTopAndBottom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24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.5pt,3.5pt" to="552.95pt,3.5pt" stroked="t" style="position:absolute;mso-position-horizontal-relative:page">
                <v:stroke color="black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Szvegtrzs"/>
        <w:spacing w:before="120" w:after="0"/>
        <w:jc w:val="both"/>
        <w:rPr>
          <w:rFonts w:ascii="ObjektivMk1-Bold" w:hAnsi="ObjektivMk1-Bold"/>
          <w:b/>
          <w:b/>
          <w:caps/>
          <w:color w:val="331B62"/>
          <w:sz w:val="24"/>
          <w:szCs w:val="28"/>
          <w:lang w:val="hu-HU"/>
        </w:rPr>
      </w:pPr>
      <w:r>
        <w:rPr>
          <w:rFonts w:ascii="ObjektivMk1-Bold" w:hAnsi="ObjektivMk1-Bold"/>
          <w:b/>
          <w:caps/>
          <w:color w:val="331B62"/>
          <w:sz w:val="24"/>
          <w:szCs w:val="28"/>
          <w:lang w:val="hu-HU"/>
        </w:rPr>
        <w:t>Miről szól a Tanítsunk Magyarországért?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sectPr>
          <w:type w:val="nextPage"/>
          <w:pgSz w:w="11906" w:h="16838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600" w:charSpace="36864"/>
        </w:sectPr>
      </w:pPr>
    </w:p>
    <w:p>
      <w:pPr>
        <w:pStyle w:val="Szvegtrzs"/>
        <w:jc w:val="both"/>
        <w:rPr>
          <w:rFonts w:ascii="ObjektivMk1-Bold" w:hAnsi="ObjektivMk1-Bold"/>
          <w:b/>
          <w:b/>
          <w:color w:val="331B62"/>
          <w:sz w:val="22"/>
          <w:szCs w:val="28"/>
          <w:lang w:val="hu-HU"/>
        </w:rPr>
      </w:pPr>
      <w:r>
        <w:rPr>
          <w:sz w:val="22"/>
          <w:szCs w:val="22"/>
          <w:lang w:val="hu-HU"/>
        </w:rPr>
        <w:t xml:space="preserve">A Tanítsunk Magyarországért kezdeményezést az a felismerés alapozta meg, hogy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jó érzés továbbadni mindazt, amit tudunk, és látni, hogy ennek mások is hasznát veszik.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Másrészt, kicsit földhözragadtabban megközelítve a kezdeményezés mögötti motivációt: tisztában vagyunk azzal, hogy – ahogyan a világban bárhol máshol – vannak nehezebb helyzetben lévő kistelepülések az országban, és az ott élők számára is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biztosítanunk kell annak a lehetőségét, hogy sikerrel boldoguljanak az életben.</w:t>
      </w:r>
      <w:r>
        <w:rPr>
          <w:sz w:val="22"/>
          <w:szCs w:val="22"/>
          <w:lang w:val="hu-HU"/>
        </w:rPr>
        <w:t xml:space="preserve"> Ehhez azonban a Kormány gondolkodása szerint nem segélyt vagy alapjövedelmet kell nyújtani az ott élőknek, mert ezek konzerválnak, hanem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meg kell teremteni a lehetőséget, hogy sikeresen tanuljanak tovább és helyezkedjenek el a munkaerőpiacon,</w:t>
      </w:r>
      <w:r>
        <w:rPr>
          <w:sz w:val="22"/>
          <w:szCs w:val="22"/>
          <w:lang w:val="hu-HU"/>
        </w:rPr>
        <w:t xml:space="preserve"> mert a tanulás és a munka visznek előre.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Megvizsgáltuk a hazai és nemzetközi kutatásokat, és két fő megállapítást vontunk le belőlük. Az egyik, hogy az ezeken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a kistelepüléseken élő gyerekeknek szüksége van arra, hogy valaki megmutassa nekik azt, hogy</w:t>
      </w:r>
      <w:r>
        <w:rPr>
          <w:sz w:val="22"/>
          <w:szCs w:val="22"/>
          <w:lang w:val="hu-HU"/>
        </w:rPr>
        <w:t xml:space="preserve"> a környezetük által körülhatárolt, jelenleg elképzelt burkon kívül is van élet és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vannak lehetőségek, vagyis a képességeik alapján tanulással sokra vihetik.</w:t>
      </w:r>
      <w:r>
        <w:rPr>
          <w:sz w:val="22"/>
          <w:szCs w:val="22"/>
          <w:lang w:val="hu-HU"/>
        </w:rPr>
        <w:t xml:space="preserve"> A másik, hogy az USA-ban, Nagy-Britanniában és Izraelben működő, tehetséges fiatalok által végzett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mentorálási tevékenységekre alapuló kezdeményezésekben résztvevő tanulók tanulmányi eredményei akár 15-20 százalékkal javultak, ami olyan, mintha 2-3 hónappal tovább tanulták volna az egyes tantárgyakat.</w:t>
      </w:r>
      <w:r>
        <w:rPr>
          <w:sz w:val="22"/>
          <w:szCs w:val="22"/>
          <w:lang w:val="hu-HU"/>
        </w:rPr>
        <w:t xml:space="preserve"> A tanulmányi eredmények javulása mellett pedig csökkent az igazolatlan hiányzásaik száma is. Ezek jelentős eredmények, mi is ezekre törekszünk.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Mindezek alapján olyan, főként kortárs mentorálási tevékenységekre alapuló programot hoztunk most létre, amelynek célja kettős. Egyrészt a kistelepülésen élő általános iskolások támogatása tanulmányaik sikeres elvégzéséhez, másrészt pedig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a kölcsönös tanulásról, egymás támogatásáról, a magyar közösségek megerősítéséről szól a Tanítsunk Magyarországért program.</w:t>
      </w:r>
      <w:r>
        <w:rPr>
          <w:sz w:val="22"/>
          <w:szCs w:val="22"/>
          <w:lang w:val="hu-HU"/>
        </w:rPr>
        <w:t xml:space="preserve"> 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A cél érdekében az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Innovációs és Technológiai Minisztérium</w:t>
      </w:r>
      <w:r>
        <w:rPr>
          <w:sz w:val="22"/>
          <w:szCs w:val="22"/>
          <w:lang w:val="hu-HU"/>
        </w:rPr>
        <w:t xml:space="preserve">, az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Emberi Erőforrások Minisztériuma</w:t>
      </w:r>
      <w:r>
        <w:rPr>
          <w:sz w:val="22"/>
          <w:szCs w:val="22"/>
          <w:lang w:val="hu-HU"/>
        </w:rPr>
        <w:t xml:space="preserve"> (EMMI),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Klebelsberg Központ</w:t>
      </w:r>
      <w:r>
        <w:rPr>
          <w:sz w:val="22"/>
          <w:szCs w:val="22"/>
          <w:lang w:val="hu-HU"/>
        </w:rPr>
        <w:t xml:space="preserve"> (KK) és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Hallgatói Önkormányzatok Országos Konferenciája</w:t>
      </w:r>
      <w:r>
        <w:rPr>
          <w:sz w:val="22"/>
          <w:szCs w:val="22"/>
          <w:lang w:val="hu-HU"/>
        </w:rPr>
        <w:t xml:space="preserve"> (HÖOK) fogott össze. Ez természetesen nem jelenti azt, hogy a későbbiekben ne csatlakozhatnának hozzánk más szervezetek, vállalkozások is – sőt, szeretnénk, ha minél szélesebb lenne a kezdeményezéshez csatlakozók köre.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A Tanítsunk Magyarországért célcsoportját a kistelepülésen élő általános iskolás tanulók képezik.</w:t>
      </w:r>
      <w:r>
        <w:rPr>
          <w:sz w:val="22"/>
          <w:szCs w:val="22"/>
          <w:lang w:val="hu-HU"/>
        </w:rPr>
        <w:t xml:space="preserve"> A melléjük szegődő mentorok feladata, hogy megmutassák nekik a településen túli világ izgalmait és lehetőségeit – az állatkertet, a múzeumot, a középiskolákat, a vállalkozásokat, hogy lássák, hányféle foglalkozásból, hányféle jövőből választhatnak. Egy mondatban összefoglalva, segítsék őket abban, hogy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képesek legyenek kihozni magukból a maximumot</w:t>
      </w:r>
      <w:r>
        <w:rPr>
          <w:sz w:val="22"/>
          <w:szCs w:val="22"/>
          <w:lang w:val="hu-HU"/>
        </w:rPr>
        <w:t xml:space="preserve"> – legyen az szakmaszerzés, érettségi, továbbtanulás, sport, művészetek és a végén elhelyezkedés a munkaerőpiacon.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Ezek alapján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4 fő pilléren nyugszik</w:t>
      </w:r>
      <w:r>
        <w:rPr>
          <w:sz w:val="22"/>
          <w:szCs w:val="22"/>
          <w:lang w:val="hu-HU"/>
        </w:rPr>
        <w:t xml:space="preserve"> a Tanítsunk Magyarországért program: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egyetemi mentorprogram, középiskolás mentor-program, HÖOK mentorprogram</w:t>
      </w:r>
      <w:r>
        <w:rPr>
          <w:sz w:val="22"/>
          <w:szCs w:val="22"/>
          <w:lang w:val="hu-HU"/>
        </w:rPr>
        <w:t xml:space="preserve"> és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vállalati mentorprogram.</w:t>
      </w:r>
      <w:r>
        <w:rPr>
          <w:sz w:val="22"/>
          <w:szCs w:val="22"/>
          <w:lang w:val="hu-HU"/>
        </w:rPr>
        <w:t xml:space="preserve"> Bár ezek a mentorprogramok jelentik a Tanítsunk Magyarországért központi elemeit, a program további pilléreket is tartalmaz, amelyek bejelentését a közeljövőben tervezzük.</w:t>
      </w:r>
    </w:p>
    <w:p>
      <w:pPr>
        <w:sectPr>
          <w:type w:val="continuous"/>
          <w:pgSz w:w="11906" w:h="16838"/>
          <w:pgMar w:left="851" w:right="851" w:header="0" w:top="851" w:footer="0" w:bottom="851" w:gutter="0"/>
          <w:cols w:num="2" w:space="720" w:equalWidth="true" w:sep="false"/>
          <w:formProt w:val="false"/>
          <w:textDirection w:val="lrTb"/>
          <w:docGrid w:type="default" w:linePitch="600" w:charSpace="36864"/>
        </w:sectPr>
      </w:pP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keepNext w:val="true"/>
        <w:jc w:val="center"/>
        <w:rPr/>
      </w:pPr>
      <w:r>
        <w:rPr/>
        <w:drawing>
          <wp:inline distT="0" distB="0" distL="0" distR="0">
            <wp:extent cx="5812790" cy="1868170"/>
            <wp:effectExtent l="0" t="0" r="0" b="0"/>
            <wp:docPr id="4" name="Kép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240"/>
        <w:jc w:val="center"/>
        <w:rPr>
          <w:sz w:val="22"/>
          <w:szCs w:val="22"/>
          <w:lang w:val="hu-HU"/>
        </w:rPr>
      </w:pPr>
      <w:r>
        <w:rPr>
          <w:rFonts w:ascii="ObjektivMk1-Bold" w:hAnsi="ObjektivMk1-Bold"/>
          <w:bCs w:val="false"/>
          <w:color w:val="331B62"/>
          <w:szCs w:val="28"/>
          <w:lang w:val="hu-HU"/>
        </w:rPr>
        <w:t>A Tanítsunk Magyarországért program eddig bejelentett négy pillére</w:t>
      </w:r>
    </w:p>
    <w:p>
      <w:pPr>
        <w:sectPr>
          <w:type w:val="continuous"/>
          <w:pgSz w:w="11906" w:h="16838"/>
          <w:pgMar w:left="851" w:right="851" w:header="0" w:top="851" w:footer="0" w:bottom="851" w:gutter="0"/>
          <w:formProt w:val="false"/>
          <w:textDirection w:val="lrTb"/>
          <w:docGrid w:type="default" w:linePitch="600" w:charSpace="36864"/>
        </w:sectPr>
      </w:pP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Az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egyetemi mentorprogramban</w:t>
      </w:r>
      <w:r>
        <w:rPr>
          <w:sz w:val="22"/>
          <w:szCs w:val="22"/>
          <w:lang w:val="hu-HU"/>
        </w:rPr>
        <w:t xml:space="preserve"> résztvevő egyetemisták a közreműködő általános iskolák egyikében meghatározott számú 7-8. osztályos kisdiákkal kezdik meg a közös munkát, a közös élményszerzést, amelyért havi 30 ezer forintos ösztöndíjban részesülnek, amit eredményesség alapján további juttatások egészíthetnek ki. Egy hallgató négy-öt kisdiákot vesz a szárnyai alá, és segít nekik abban, hogy sikerrel fejezz</w:t>
      </w:r>
      <w:bookmarkStart w:id="0" w:name="_GoBack"/>
      <w:bookmarkEnd w:id="0"/>
      <w:r>
        <w:rPr>
          <w:sz w:val="22"/>
          <w:szCs w:val="22"/>
          <w:lang w:val="hu-HU"/>
        </w:rPr>
        <w:t>ék be az általános iskolát, valamint tovább folytassák tanulmányaikat a középfokú oktatásban. A mentorok emellett megismertetik a kisdiákokkal a településen túli világ izgalmait (pl. állatkert, mozi, múzeumok), amely motiválhatja őket a fejlődésben.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A programban közreműködő egyetemeken – melyek a kezdeti évben, 2019-ben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Pécsi Tudományegyetem</w:t>
      </w:r>
      <w:r>
        <w:rPr>
          <w:sz w:val="22"/>
          <w:szCs w:val="22"/>
          <w:lang w:val="hu-HU"/>
        </w:rPr>
        <w:t xml:space="preserve">,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Miskolci</w:t>
      </w:r>
      <w:r>
        <w:rPr>
          <w:sz w:val="22"/>
          <w:szCs w:val="22"/>
          <w:lang w:val="hu-HU"/>
        </w:rPr>
        <w:t xml:space="preserve">,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Nyíregyházi</w:t>
      </w:r>
      <w:r>
        <w:rPr>
          <w:sz w:val="22"/>
          <w:szCs w:val="22"/>
          <w:lang w:val="hu-HU"/>
        </w:rPr>
        <w:t xml:space="preserve"> és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Debreceni Egyetem</w:t>
      </w:r>
      <w:r>
        <w:rPr>
          <w:sz w:val="22"/>
          <w:szCs w:val="22"/>
          <w:lang w:val="hu-HU"/>
        </w:rPr>
        <w:t xml:space="preserve"> – már a tavaszi félévben elindul a csatlakozás előfeltételének számító egyetemi kurzus, amelynek keretében a hallgatók elsajátíthatják a mentori tevékenységhez kapcsolódó legszükségesebb ismereteket és kompetenciákat. Az program iránti hatalmas érdeklődést jól mutatja, hogy mind a négy intézményben nagyon rövid idő (jellemzően kevesebb mint egy nap) alatt beteltek a meghirdetett kurzusok – a Debreceni Egyetemen például négy és fél perc alatt – így emelni kellett az eredetileg tervezett létszámokat. A tavaszi félévben várhatóan több mint 600 egyetemi hallgató kezdi meg a felkészülést a mentorálásra.</w:t>
      </w:r>
    </w:p>
    <w:p>
      <w:pPr>
        <w:pStyle w:val="Szvegtrzs"/>
        <w:jc w:val="both"/>
        <w:rPr>
          <w:sz w:val="22"/>
          <w:szCs w:val="22"/>
          <w:highlight w:val="yellow"/>
          <w:lang w:val="hu-HU"/>
        </w:rPr>
      </w:pPr>
      <w:r>
        <w:rPr>
          <w:sz w:val="22"/>
          <w:szCs w:val="22"/>
          <w:highlight w:val="yellow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középiskolás mentorprogram</w:t>
      </w:r>
      <w:r>
        <w:rPr>
          <w:sz w:val="22"/>
          <w:szCs w:val="22"/>
          <w:lang w:val="hu-HU"/>
        </w:rPr>
        <w:t xml:space="preserve"> a középiskolások 50 órás közösségi szolgálatának</w:t>
      </w:r>
    </w:p>
    <w:p>
      <w:pPr>
        <w:pStyle w:val="Normal"/>
        <w:rPr/>
      </w:pPr>
      <w:r>
        <w:br w:type="column"/>
      </w:r>
      <w:r>
        <w:rPr>
          <w:sz w:val="22"/>
          <w:szCs w:val="22"/>
          <w:lang w:val="hu-HU"/>
        </w:rPr>
        <w:t>egy blokkban való teljesítésére teremt lehetőséget. Lényege, hogy a programban résztvevő középiskolák diákjai 3-5 napot egy kistelepülési általános iskolában töltenek, ahol órákat látogatnak, valamint tanórák után a diákokkal közös eseményeken (szakkör, tanulószoba, sporttevékenység) vesznek részt. Ezt a programelemet Hajnal Gabriella, a KK elnöke menedzseli.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A Tanítsunk Magyarországért kezdeményezés-hez csatlakozó, idén tízéves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HÖOK mentorprogram</w:t>
      </w:r>
      <w:r>
        <w:rPr>
          <w:sz w:val="22"/>
          <w:szCs w:val="22"/>
          <w:lang w:val="hu-HU"/>
        </w:rPr>
        <w:t xml:space="preserve"> azokat az elsőéves hallgatókat támogatja az egyetemi beilleszkedés során, akik szociális körülményeik miatt hátrányokkal érkeznek a felsőoktatásba.</w:t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</w:r>
    </w:p>
    <w:p>
      <w:pPr>
        <w:pStyle w:val="Szvegtrzs"/>
        <w:jc w:val="both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 xml:space="preserve">Végül, de nem utolsó sorban a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vállalati mentorprogram</w:t>
      </w:r>
      <w:r>
        <w:rPr>
          <w:sz w:val="22"/>
          <w:szCs w:val="22"/>
          <w:lang w:val="hu-HU"/>
        </w:rPr>
        <w:t xml:space="preserve"> pedig a vállalatoknak és munkavállalóiknak szól. A társadalmi gondoskodás jegyében Palkovics László innovációs és technológiai miniszter az ITM munkavállalói számára lehetővé teszi, hogy 2019-től évente legalább két napot mentorálással tölthessenek. </w:t>
      </w:r>
      <w:r>
        <w:rPr>
          <w:rFonts w:ascii="ObjektivMk1-Bold" w:hAnsi="ObjektivMk1-Bold"/>
          <w:b/>
          <w:color w:val="331B62"/>
          <w:sz w:val="22"/>
          <w:szCs w:val="28"/>
          <w:lang w:val="hu-HU"/>
        </w:rPr>
        <w:t>A vállalatok csatlakozhatnak a programhoz akár úgy, hogy szintén lehetőséget teremtenek a munkavállalóik számára, hogy mentorálhassanak, akár úgy, hogy megnyitják vállalataikat, üzemeiket a kisiskolások előtt, betekintést engedve az ott zajló munkába.</w:t>
      </w:r>
      <w:r>
        <w:rPr>
          <w:sz w:val="22"/>
          <w:szCs w:val="22"/>
          <w:lang w:val="hu-HU"/>
        </w:rPr>
        <w:t xml:space="preserve"> Kezdeményezőként az ITM felel a Tanítsunk Magyarországért program teljes koordinációjáért, így valamennyi pillér irányításában részt vesz, azonban a vállalati mentorprogram kidolgozásában és irányításában kiemelt szerepet játszik a minisztérium.</w:t>
      </w:r>
    </w:p>
    <w:p>
      <w:pPr>
        <w:sectPr>
          <w:type w:val="continuous"/>
          <w:pgSz w:w="11906" w:h="16838"/>
          <w:pgMar w:left="851" w:right="851" w:header="0" w:top="851" w:footer="0" w:bottom="851" w:gutter="0"/>
          <w:cols w:num="2" w:space="720" w:equalWidth="true" w:sep="false"/>
          <w:formProt w:val="false"/>
          <w:textDirection w:val="lrTb"/>
          <w:docGrid w:type="default" w:linePitch="600" w:charSpace="36864"/>
        </w:sectPr>
      </w:pPr>
    </w:p>
    <w:p>
      <w:pPr>
        <w:pStyle w:val="Szvegtrzs"/>
        <w:spacing w:before="240" w:after="0"/>
        <w:jc w:val="both"/>
        <w:rPr>
          <w:sz w:val="25"/>
        </w:rPr>
      </w:pPr>
      <w:r>
        <w:rPr/>
        <w:drawing>
          <wp:inline distT="0" distB="0" distL="0" distR="0">
            <wp:extent cx="1059815" cy="539750"/>
            <wp:effectExtent l="0" t="0" r="0" b="0"/>
            <wp:docPr id="5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ab/>
      </w:r>
      <w:r>
        <w:rPr/>
        <w:drawing>
          <wp:inline distT="0" distB="0" distL="0" distR="0">
            <wp:extent cx="754380" cy="539750"/>
            <wp:effectExtent l="0" t="0" r="0" b="0"/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  </w:t>
      </w:r>
    </w:p>
    <w:p>
      <w:pPr>
        <w:pStyle w:val="Szvegtrzs"/>
        <w:spacing w:before="4" w:after="0"/>
        <w:jc w:val="both"/>
        <w:rPr>
          <w:sz w:val="3"/>
        </w:rPr>
      </w:pPr>
      <w:r>
        <w:rPr>
          <w:sz w:val="3"/>
        </w:rPr>
      </w:r>
    </w:p>
    <w:p>
      <w:pPr>
        <w:pStyle w:val="Szvegtrzs"/>
        <w:spacing w:before="18" w:after="0"/>
        <w:jc w:val="both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539750</wp:posOffset>
                </wp:positionH>
                <wp:positionV relativeFrom="paragraph">
                  <wp:posOffset>128905</wp:posOffset>
                </wp:positionV>
                <wp:extent cx="4545965" cy="1270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.5pt,10.15pt" to="552.45pt,10.15pt" stroked="t" style="position:absolute;mso-position-horizontal-relative:page">
                <v:stroke color="black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Szvegtrzs"/>
        <w:spacing w:before="4" w:after="0"/>
        <w:jc w:val="both"/>
        <w:rPr>
          <w:sz w:val="8"/>
        </w:rPr>
      </w:pPr>
      <w:r>
        <w:rPr>
          <w:sz w:val="8"/>
        </w:rPr>
      </w:r>
    </w:p>
    <w:p>
      <w:pPr>
        <w:pStyle w:val="Normal"/>
        <w:spacing w:lineRule="exact" w:line="229"/>
        <w:jc w:val="both"/>
        <w:rPr>
          <w:rFonts w:ascii="ObjektivMk1-Light" w:hAnsi="ObjektivMk1-Light"/>
          <w:sz w:val="18"/>
        </w:rPr>
      </w:pPr>
      <w:r>
        <w:rPr>
          <w:rFonts w:ascii="ObjektivMk1-Light" w:hAnsi="ObjektivMk1-Light"/>
          <w:sz w:val="18"/>
        </w:rPr>
        <w:t>Innovációs és Technológiai Minisztérium / Cím: 1011 Budapest, Fő utca 44-50.</w:t>
      </w:r>
    </w:p>
    <w:p>
      <w:pPr>
        <w:pStyle w:val="Normal"/>
        <w:spacing w:lineRule="exact" w:line="277"/>
        <w:jc w:val="both"/>
        <w:rPr/>
      </w:pPr>
      <w:r>
        <w:rPr>
          <w:rFonts w:ascii="ObjektivMk1-Light" w:hAnsi="ObjektivMk1-Light"/>
          <w:sz w:val="18"/>
        </w:rPr>
        <w:t xml:space="preserve">Telefon: (+36) 1 795 1700 / </w:t>
      </w:r>
      <w:hyperlink r:id="rId7">
        <w:r>
          <w:rPr>
            <w:rStyle w:val="Internethivatkozs"/>
            <w:rFonts w:ascii="ObjektivMk1-Light" w:hAnsi="ObjektivMk1-Light"/>
            <w:sz w:val="18"/>
          </w:rPr>
          <w:t>www.tmo.go.hu</w:t>
        </w:r>
      </w:hyperlink>
      <w:r>
        <w:rPr>
          <w:rFonts w:ascii="ObjektivMk1-Light" w:hAnsi="ObjektivMk1-Light"/>
          <w:sz w:val="18"/>
        </w:rPr>
        <w:t xml:space="preserve"> / </w:t>
      </w:r>
      <w:hyperlink r:id="rId8">
        <w:r>
          <w:rPr>
            <w:rStyle w:val="Internethivatkozs"/>
            <w:rFonts w:ascii="ObjektivMk1-Light" w:hAnsi="ObjektivMk1-Light"/>
            <w:sz w:val="18"/>
          </w:rPr>
          <w:t>tmo@itm.gov.hu</w:t>
        </w:r>
      </w:hyperlink>
    </w:p>
    <w:sectPr>
      <w:type w:val="continuous"/>
      <w:pgSz w:w="11906" w:h="16838"/>
      <w:pgMar w:left="851" w:right="851" w:header="0" w:top="851" w:footer="0" w:bottom="851" w:gutter="0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ObjektivMk2-Light">
    <w:charset w:val="ee"/>
    <w:family w:val="roman"/>
    <w:pitch w:val="variable"/>
  </w:font>
  <w:font w:name="Lucida Grande">
    <w:charset w:val="ee"/>
    <w:family w:val="roman"/>
    <w:pitch w:val="variable"/>
  </w:font>
  <w:font w:name="ObjektivMk1-Light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ObjektivMk1-Bold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2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bidi w:val="0"/>
      <w:jc w:val="left"/>
    </w:pPr>
    <w:rPr>
      <w:rFonts w:ascii="ObjektivMk2-Light" w:hAnsi="ObjektivMk2-Light" w:eastAsia="ObjektivMk2-Light" w:cs="ObjektivMk2-Light"/>
      <w:color w:val="auto"/>
      <w:kern w:val="0"/>
      <w:sz w:val="22"/>
      <w:szCs w:val="22"/>
      <w:lang w:bidi="en-US" w:val="en-US"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5c3c60"/>
    <w:rPr>
      <w:rFonts w:ascii="Lucida Grande" w:hAnsi="Lucida Grande" w:eastAsia="ObjektivMk2-Light" w:cs="Lucida Grande"/>
      <w:sz w:val="18"/>
      <w:szCs w:val="18"/>
      <w:lang w:bidi="en-US"/>
    </w:rPr>
  </w:style>
  <w:style w:type="character" w:styleId="Internethivatkozs">
    <w:name w:val="Internet-hivatkozás"/>
    <w:basedOn w:val="DefaultParagraphFont"/>
    <w:uiPriority w:val="99"/>
    <w:unhideWhenUsed/>
    <w:rsid w:val="006f5995"/>
    <w:rPr>
      <w:color w:val="0000FF" w:themeColor="hyperlink"/>
      <w:u w:val="single"/>
    </w:rPr>
  </w:style>
  <w:style w:type="character" w:styleId="ListLabel1">
    <w:name w:val="ListLabel 1"/>
    <w:qFormat/>
    <w:rPr>
      <w:rFonts w:ascii="ObjektivMk1-Light" w:hAnsi="ObjektivMk1-Light"/>
      <w:sz w:val="18"/>
    </w:rPr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zvegtrzs">
    <w:name w:val="Body Text"/>
    <w:basedOn w:val="Normal"/>
    <w:uiPriority w:val="1"/>
    <w:qFormat/>
    <w:pPr/>
    <w:rPr>
      <w:sz w:val="20"/>
      <w:szCs w:val="20"/>
    </w:rPr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5c3c60"/>
    <w:pPr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f05dd"/>
    <w:pPr>
      <w:spacing w:before="0" w:after="200"/>
    </w:pPr>
    <w:rPr>
      <w:b/>
      <w:bCs/>
      <w:color w:val="4F81BD" w:themeColor="accent1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hyperlink" Target="http://www.tmo.go.hu/" TargetMode="External"/><Relationship Id="rId8" Type="http://schemas.openxmlformats.org/officeDocument/2006/relationships/hyperlink" Target="mailto:tmo@itm.gov.hu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867F1-5B9F-4BF7-B0EA-587F541B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Application>LibreOffice/6.2.3.2$Windows_X86_64 LibreOffice_project/aecc05fe267cc68dde00352a451aa867b3b546ac</Application>
  <Pages>3</Pages>
  <Words>803</Words>
  <Characters>5576</Characters>
  <CharactersWithSpaces>6375</CharactersWithSpaces>
  <Paragraphs>20</Paragraphs>
  <Company>X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2018-12-19T13:40:00Z</dcterms:created>
  <dc:creator>Szalai Ádám</dc:creator>
  <dc:description/>
  <dc:language>hu-HU</dc:language>
  <cp:lastModifiedBy>Szalai Ádám</cp:lastModifiedBy>
  <cp:lastPrinted>2019-02-13T12:32:00Z</cp:lastPrinted>
  <dcterms:modified xsi:type="dcterms:W3CDTF">2019-02-14T08:29:00Z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X</vt:lpwstr>
  </property>
  <property fmtid="{D5CDD505-2E9C-101B-9397-08002B2CF9AE}" pid="4" name="Created">
    <vt:filetime>2018-12-19T00:00:00Z</vt:filetime>
  </property>
  <property fmtid="{D5CDD505-2E9C-101B-9397-08002B2CF9AE}" pid="5" name="Creator">
    <vt:lpwstr>Adobe InDesign CC 14.0 (Macintosh)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2018-12-19T00:00:00Z</vt:filetime>
  </property>
  <property fmtid="{D5CDD505-2E9C-101B-9397-08002B2CF9AE}" pid="9" name="LinksUpToDate">
    <vt:bool>0</vt:bool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