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238" w14:textId="77777777" w:rsidR="00B64713" w:rsidRPr="00E64C98" w:rsidRDefault="00B64713" w:rsidP="00B64713">
      <w:pPr>
        <w:jc w:val="both"/>
        <w:rPr>
          <w:rFonts w:ascii="Cambria" w:eastAsia="Times New Roman" w:hAnsi="Cambria"/>
          <w:caps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F0F9CD4" wp14:editId="650025C3">
            <wp:simplePos x="0" y="0"/>
            <wp:positionH relativeFrom="margin">
              <wp:posOffset>0</wp:posOffset>
            </wp:positionH>
            <wp:positionV relativeFrom="paragraph">
              <wp:posOffset>162</wp:posOffset>
            </wp:positionV>
            <wp:extent cx="873125" cy="883920"/>
            <wp:effectExtent l="0" t="0" r="3175" b="0"/>
            <wp:wrapSquare wrapText="bothSides"/>
            <wp:docPr id="2" name="Kép 2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0D3F0" w14:textId="77777777" w:rsidR="00B64713" w:rsidRPr="00E702D2" w:rsidRDefault="00B64713" w:rsidP="00B64713">
      <w:pPr>
        <w:spacing w:after="0"/>
        <w:rPr>
          <w:rFonts w:asciiTheme="minorHAnsi" w:eastAsia="Times New Roman" w:hAnsiTheme="minorHAnsi"/>
          <w:b/>
          <w:szCs w:val="24"/>
          <w:lang w:eastAsia="hu-HU"/>
        </w:rPr>
      </w:pPr>
      <w:r w:rsidRPr="00E702D2">
        <w:rPr>
          <w:rFonts w:asciiTheme="minorHAnsi" w:eastAsia="Times New Roman" w:hAnsiTheme="minorHAnsi"/>
          <w:b/>
          <w:szCs w:val="24"/>
          <w:lang w:eastAsia="hu-HU"/>
        </w:rPr>
        <w:t>Építési Vállalkozók Országos Szakszövetsége</w:t>
      </w:r>
    </w:p>
    <w:p w14:paraId="662F994B" w14:textId="77777777" w:rsidR="00B64713" w:rsidRDefault="00B64713" w:rsidP="00B64713">
      <w:pPr>
        <w:rPr>
          <w:rFonts w:asciiTheme="minorHAnsi" w:eastAsia="Times New Roman" w:hAnsiTheme="minorHAnsi"/>
          <w:b/>
          <w:szCs w:val="24"/>
          <w:lang w:eastAsia="hu-HU"/>
        </w:rPr>
      </w:pPr>
      <w:r w:rsidRPr="00E702D2">
        <w:rPr>
          <w:rFonts w:asciiTheme="minorHAnsi" w:eastAsia="Times New Roman" w:hAnsiTheme="minorHAnsi"/>
          <w:b/>
          <w:szCs w:val="24"/>
          <w:lang w:eastAsia="hu-HU"/>
        </w:rPr>
        <w:t>(ÉVOSZ)</w:t>
      </w:r>
    </w:p>
    <w:p w14:paraId="55A75C28" w14:textId="77777777" w:rsidR="007D4CC8" w:rsidRPr="007D4CC8" w:rsidRDefault="007D4CC8" w:rsidP="00B64713">
      <w:pPr>
        <w:jc w:val="center"/>
        <w:rPr>
          <w:rFonts w:asciiTheme="minorHAnsi" w:eastAsia="Times New Roman" w:hAnsiTheme="minorHAnsi"/>
          <w:b/>
          <w:szCs w:val="24"/>
          <w:lang w:eastAsia="hu-HU"/>
        </w:rPr>
      </w:pPr>
    </w:p>
    <w:p w14:paraId="32391A01" w14:textId="3322D547" w:rsidR="00E207C7" w:rsidRPr="00B64713" w:rsidRDefault="00A30785" w:rsidP="00B647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Tájékoztató</w:t>
      </w:r>
    </w:p>
    <w:p w14:paraId="0B7F82F0" w14:textId="5B8B1152" w:rsidR="004106D1" w:rsidRPr="00B64713" w:rsidRDefault="004106D1" w:rsidP="00B64713">
      <w:pPr>
        <w:jc w:val="center"/>
        <w:rPr>
          <w:b/>
          <w:bCs/>
          <w:sz w:val="32"/>
          <w:szCs w:val="32"/>
        </w:rPr>
      </w:pPr>
      <w:bookmarkStart w:id="0" w:name="_GoBack"/>
      <w:r w:rsidRPr="00B64713">
        <w:rPr>
          <w:b/>
          <w:bCs/>
          <w:sz w:val="32"/>
          <w:szCs w:val="32"/>
        </w:rPr>
        <w:t>Az árak kezelése az építési-beruházási szerződésekben</w:t>
      </w:r>
    </w:p>
    <w:bookmarkEnd w:id="0"/>
    <w:p w14:paraId="01244B50" w14:textId="6869EB57" w:rsidR="004106D1" w:rsidRDefault="004106D1"/>
    <w:p w14:paraId="42765A0C" w14:textId="293FC15C" w:rsidR="004106D1" w:rsidRPr="005C11A6" w:rsidRDefault="004106D1" w:rsidP="00F57CC8">
      <w:pPr>
        <w:jc w:val="both"/>
        <w:rPr>
          <w:b/>
          <w:bCs/>
        </w:rPr>
      </w:pPr>
      <w:r w:rsidRPr="005C11A6">
        <w:rPr>
          <w:b/>
          <w:bCs/>
        </w:rPr>
        <w:t xml:space="preserve">Az Építési Vállalkozók Országos Szakszövetsége (ÉVOSZ) már egy évvel ezelőtt jelezte, hogy a pandémia okozta világkereskedelmi folyamatok építőanyagok áremelkedésére gyakorolt hatása komoly problémákat okoz az építési szerződéseknél. Az áremelkedésekből adódó kockázatot, költségnövekedést a vállalkozók egyedül nem tudják viselni, azt meg kell osztani a megrendelővel annak, érdekében, hogy a létesítmények elkészülhessenek. </w:t>
      </w:r>
      <w:r w:rsidR="001850A2" w:rsidRPr="005C11A6">
        <w:rPr>
          <w:b/>
          <w:bCs/>
        </w:rPr>
        <w:t xml:space="preserve">Az orosz-ukrán háború, az energiaárak emelkedése, a forint elgyengülése 2022. évben tovább nehezíti az árkérdéseket az építésgazdaságban. </w:t>
      </w:r>
      <w:r w:rsidR="00410626">
        <w:rPr>
          <w:b/>
          <w:bCs/>
        </w:rPr>
        <w:t>Koji László ÉVOSZ elnök</w:t>
      </w:r>
      <w:r w:rsidR="00B64713">
        <w:rPr>
          <w:b/>
          <w:bCs/>
        </w:rPr>
        <w:t>, az MKIK alelnöke</w:t>
      </w:r>
      <w:r w:rsidR="00410626">
        <w:rPr>
          <w:b/>
          <w:bCs/>
        </w:rPr>
        <w:t xml:space="preserve"> szerint ú</w:t>
      </w:r>
      <w:r w:rsidR="001850A2" w:rsidRPr="005C11A6">
        <w:rPr>
          <w:b/>
          <w:bCs/>
        </w:rPr>
        <w:t>tmutatásra van szükség az állami, közösségi megren</w:t>
      </w:r>
      <w:r w:rsidR="005C11A6" w:rsidRPr="005C11A6">
        <w:rPr>
          <w:b/>
          <w:bCs/>
        </w:rPr>
        <w:t>d</w:t>
      </w:r>
      <w:r w:rsidR="001850A2" w:rsidRPr="005C11A6">
        <w:rPr>
          <w:b/>
          <w:bCs/>
        </w:rPr>
        <w:t xml:space="preserve">eléseknél is, ami az </w:t>
      </w:r>
      <w:r w:rsidR="005C11A6" w:rsidRPr="005C11A6">
        <w:rPr>
          <w:b/>
          <w:bCs/>
        </w:rPr>
        <w:t xml:space="preserve">összes feladat mintegy 60%-át jelenti. </w:t>
      </w:r>
    </w:p>
    <w:p w14:paraId="186BCCF4" w14:textId="5A5CD0C5" w:rsidR="005C11A6" w:rsidRDefault="005C11A6" w:rsidP="00F57CC8">
      <w:pPr>
        <w:jc w:val="both"/>
      </w:pPr>
      <w:r>
        <w:t xml:space="preserve">A 2021. és 2022. évi jelentős áremelkedések előtt megkötött szerződések nagy részénél árfelülvizsgálat lehet indokolt, a szerződés előtt lévő munkáknál pedig célszerű előre rögzíteni, hogy a jövőben bekövetkező árváltozásokat (növekedés vagy csökkenés) hogyan fogják kezelni az érintettek. </w:t>
      </w:r>
    </w:p>
    <w:p w14:paraId="461995D4" w14:textId="61C44278" w:rsidR="000A1858" w:rsidRDefault="005C11A6" w:rsidP="00F57CC8">
      <w:pPr>
        <w:jc w:val="both"/>
      </w:pPr>
      <w:r>
        <w:t>Az árak körüli problémát az ajánlatadók, vállalkozók képviseletében Koji</w:t>
      </w:r>
      <w:r w:rsidR="000A1858">
        <w:t xml:space="preserve"> </w:t>
      </w:r>
      <w:r>
        <w:t xml:space="preserve">László, az ÉVOSZ elnöke, MKIK alelnök a Közbeszerzési Hatóság keretében működő Tanács felé is jelezte. </w:t>
      </w:r>
      <w:r w:rsidRPr="007D4CC8">
        <w:rPr>
          <w:b/>
          <w:bCs/>
        </w:rPr>
        <w:t>Széleskörű egyeztetést követően a Közbeszerzési Tanács aktualizál</w:t>
      </w:r>
      <w:r w:rsidR="00813FF4" w:rsidRPr="007D4CC8">
        <w:rPr>
          <w:b/>
          <w:bCs/>
        </w:rPr>
        <w:t>t</w:t>
      </w:r>
      <w:r w:rsidRPr="007D4CC8">
        <w:rPr>
          <w:b/>
          <w:bCs/>
        </w:rPr>
        <w:t xml:space="preserve">a a közbeszerzési eljárások keretében megkötött </w:t>
      </w:r>
      <w:r w:rsidR="000A1858" w:rsidRPr="007D4CC8">
        <w:rPr>
          <w:b/>
          <w:bCs/>
        </w:rPr>
        <w:t>szerződések módosításával, valamint teljesítésével kapcsolatos Útmutatóját.</w:t>
      </w:r>
      <w:r w:rsidR="000A1858">
        <w:t xml:space="preserve"> A Közbeszerzési Hatóság Útmutatója jogszerű keretek közé helyezi az árkockázat megosztását a megrendelő és a vállalkozók között. A folyamatban lévő munkáknál eljárási rendet is ad az árak szükség szerinti felülvizsgálatához oly módon, hogy a felek jogtalan előnyökhöz ne jussanak és hátrányba se kerüljenek az előre nem látott jelentős árváltozások miatt. </w:t>
      </w:r>
    </w:p>
    <w:p w14:paraId="778EAA47" w14:textId="3A6105DD" w:rsidR="005C11A6" w:rsidRDefault="000A1858" w:rsidP="00F57CC8">
      <w:pPr>
        <w:jc w:val="both"/>
      </w:pPr>
      <w:r>
        <w:t xml:space="preserve">A jövőben megkötendő szerződéseknél célszerű rögzíteni, hogy az árváltozásokat hogyan fogják kezelni. Ehhez az </w:t>
      </w:r>
      <w:r w:rsidRPr="000A1858">
        <w:rPr>
          <w:b/>
          <w:bCs/>
        </w:rPr>
        <w:t>ÉVOSZ készített ár indexálási javaslatot</w:t>
      </w:r>
      <w:r w:rsidR="007D4CC8">
        <w:rPr>
          <w:b/>
          <w:bCs/>
        </w:rPr>
        <w:t>, amit átadott a Közbeszerzési Hatóság részére is</w:t>
      </w:r>
      <w:r>
        <w:t>. Az ÉVOSZ javaslata a hazai és import beszerzésű építőanyagok árváltozását egyaránt tartalmazza, rábízva a szerződő felekre az ár</w:t>
      </w:r>
      <w:r w:rsidR="00B4173F">
        <w:t>-</w:t>
      </w:r>
      <w:r>
        <w:t>felülvizsgálati időszakot. Az árváltozások kezeléséhez elsődlegesen javasolt adatok a KSH, az EUROSTAT és az MNB által közzétett adatbázi</w:t>
      </w:r>
      <w:r w:rsidR="00B4173F">
        <w:t xml:space="preserve">sokban találhatók meg. </w:t>
      </w:r>
    </w:p>
    <w:p w14:paraId="1A2F5A00" w14:textId="1AA817B2" w:rsidR="00C508D2" w:rsidRDefault="00C508D2" w:rsidP="00F57CC8">
      <w:pPr>
        <w:jc w:val="both"/>
      </w:pPr>
      <w:r>
        <w:t xml:space="preserve">A szerződésnek a módosulás minden feltételét előzetesen tartalmaznia kell, így a határidő meghosszabbítása esetén azt, hogy milyen esetben és mennyivel hosszabbítható meg a </w:t>
      </w:r>
      <w:r>
        <w:lastRenderedPageBreak/>
        <w:t>szerződés teljesítésének határideje, időbeli hatá</w:t>
      </w:r>
      <w:r w:rsidR="00B64713">
        <w:t>lya, az általánosságban meghatározott feltételek nem elegendők.</w:t>
      </w:r>
    </w:p>
    <w:p w14:paraId="57F8B78F" w14:textId="2F07BBDA" w:rsidR="00B4173F" w:rsidRDefault="00B4173F" w:rsidP="00F57CC8">
      <w:pPr>
        <w:jc w:val="both"/>
      </w:pPr>
      <w:r>
        <w:t xml:space="preserve">Az építési-beruházási célú közbeszerzések szerződésmódosításához kiadott </w:t>
      </w:r>
      <w:r w:rsidRPr="00B4173F">
        <w:rPr>
          <w:b/>
          <w:bCs/>
        </w:rPr>
        <w:t xml:space="preserve">Útmutató </w:t>
      </w:r>
      <w:r w:rsidR="00813FF4">
        <w:rPr>
          <w:b/>
          <w:bCs/>
        </w:rPr>
        <w:t xml:space="preserve">(2022.05.13) </w:t>
      </w:r>
      <w:r w:rsidRPr="00B4173F">
        <w:rPr>
          <w:b/>
          <w:bCs/>
        </w:rPr>
        <w:t>iránymutató tud lenni a magán megrendelők és a lakosság számára is a felújítási és új építési munkáknál, szerződéseknél egyaránt.</w:t>
      </w:r>
      <w:r>
        <w:t xml:space="preserve"> </w:t>
      </w:r>
    </w:p>
    <w:p w14:paraId="66AF3B37" w14:textId="486DF2A5" w:rsidR="00B4173F" w:rsidRDefault="00B4173F" w:rsidP="00F57CC8">
      <w:pPr>
        <w:jc w:val="both"/>
      </w:pPr>
      <w:r>
        <w:t>A téma időszerűségét és fontosságát jelzi, hogy 2021. évben egyes építőanyagoknál 15-150% közötti áremelkedés volt, 2022. évben pedig átlagosan további 15-25% közötti drágulás látható jelenleg.</w:t>
      </w:r>
    </w:p>
    <w:p w14:paraId="3D027E61" w14:textId="233D66A1" w:rsidR="00B4173F" w:rsidRDefault="00B4173F" w:rsidP="00F57CC8">
      <w:pPr>
        <w:jc w:val="both"/>
      </w:pPr>
      <w:r>
        <w:t xml:space="preserve">Az építési-beruházási közbeszerzésen a múlt évben közel háromezer eljárás mentén </w:t>
      </w:r>
      <w:r w:rsidRPr="00B64713">
        <w:t>2</w:t>
      </w:r>
      <w:r w:rsidR="00410626" w:rsidRPr="00B64713">
        <w:t>.</w:t>
      </w:r>
      <w:r w:rsidRPr="00B64713">
        <w:t>636,5</w:t>
      </w:r>
      <w:r>
        <w:t xml:space="preserve"> Milliárd Ft értékű </w:t>
      </w:r>
      <w:r w:rsidR="00410626">
        <w:t xml:space="preserve">eljárást folytattak le. 2022. év első négy hónapjában további 890 közbeszerzési eljárás volt az építési piacon 1.400 Milliárd Ft értékben. </w:t>
      </w:r>
    </w:p>
    <w:p w14:paraId="7B18AF61" w14:textId="35C1F673" w:rsidR="004106D1" w:rsidRDefault="004106D1"/>
    <w:p w14:paraId="6D186E4B" w14:textId="41C613BC" w:rsidR="00A30785" w:rsidRDefault="00A30785">
      <w:r>
        <w:t>Budapest, 2022. május 16.</w:t>
      </w:r>
    </w:p>
    <w:sectPr w:rsidR="00A3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BF6B4" w14:textId="77777777" w:rsidR="00100285" w:rsidRDefault="00100285" w:rsidP="009B338E">
      <w:pPr>
        <w:spacing w:after="0" w:line="240" w:lineRule="auto"/>
      </w:pPr>
      <w:r>
        <w:separator/>
      </w:r>
    </w:p>
  </w:endnote>
  <w:endnote w:type="continuationSeparator" w:id="0">
    <w:p w14:paraId="6D2A0529" w14:textId="77777777" w:rsidR="00100285" w:rsidRDefault="00100285" w:rsidP="009B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875D4" w14:textId="77777777" w:rsidR="00100285" w:rsidRDefault="00100285" w:rsidP="009B338E">
      <w:pPr>
        <w:spacing w:after="0" w:line="240" w:lineRule="auto"/>
      </w:pPr>
      <w:r>
        <w:separator/>
      </w:r>
    </w:p>
  </w:footnote>
  <w:footnote w:type="continuationSeparator" w:id="0">
    <w:p w14:paraId="7A268E5C" w14:textId="77777777" w:rsidR="00100285" w:rsidRDefault="00100285" w:rsidP="009B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D1"/>
    <w:rsid w:val="000A1858"/>
    <w:rsid w:val="000F0D6B"/>
    <w:rsid w:val="00100285"/>
    <w:rsid w:val="001850A2"/>
    <w:rsid w:val="003A5D0D"/>
    <w:rsid w:val="00410626"/>
    <w:rsid w:val="004106D1"/>
    <w:rsid w:val="004B5FC0"/>
    <w:rsid w:val="005C11A6"/>
    <w:rsid w:val="007D4CC8"/>
    <w:rsid w:val="00813FF4"/>
    <w:rsid w:val="008F7571"/>
    <w:rsid w:val="009B338E"/>
    <w:rsid w:val="00A30785"/>
    <w:rsid w:val="00B4173F"/>
    <w:rsid w:val="00B64713"/>
    <w:rsid w:val="00B64DA7"/>
    <w:rsid w:val="00C508D2"/>
    <w:rsid w:val="00CD564F"/>
    <w:rsid w:val="00E207C7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9487"/>
  <w15:chartTrackingRefBased/>
  <w15:docId w15:val="{8E81DA1D-D92A-476C-91E8-B62F3C7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38E"/>
  </w:style>
  <w:style w:type="paragraph" w:styleId="llb">
    <w:name w:val="footer"/>
    <w:basedOn w:val="Norml"/>
    <w:link w:val="llbChar"/>
    <w:uiPriority w:val="99"/>
    <w:unhideWhenUsed/>
    <w:rsid w:val="009B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5CCDC66C5B4EBEBBD1588F27746D" ma:contentTypeVersion="14" ma:contentTypeDescription="Create a new document." ma:contentTypeScope="" ma:versionID="0a31a6fb5d959383b5c2d30acb9584de">
  <xsd:schema xmlns:xsd="http://www.w3.org/2001/XMLSchema" xmlns:xs="http://www.w3.org/2001/XMLSchema" xmlns:p="http://schemas.microsoft.com/office/2006/metadata/properties" xmlns:ns3="ce71226b-886c-4045-b3e3-45984c568b7c" xmlns:ns4="f89ed17b-4aa5-485f-ba5e-554f961f1156" targetNamespace="http://schemas.microsoft.com/office/2006/metadata/properties" ma:root="true" ma:fieldsID="96899fa38e77214e91956572f5d119bd" ns3:_="" ns4:_="">
    <xsd:import namespace="ce71226b-886c-4045-b3e3-45984c568b7c"/>
    <xsd:import namespace="f89ed17b-4aa5-485f-ba5e-554f961f1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226b-886c-4045-b3e3-45984c568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d17b-4aa5-485f-ba5e-554f961f1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5BA2D-5F43-4E42-9E6E-C27347BCA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1226b-886c-4045-b3e3-45984c568b7c"/>
    <ds:schemaRef ds:uri="f89ed17b-4aa5-485f-ba5e-554f961f1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B4155-B1DB-4039-9CDB-1CC99B6E8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E4A6E-C112-47DF-A7DF-93C464EF62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ÉVOSZ Titkárság</dc:creator>
  <cp:keywords/>
  <dc:description/>
  <cp:lastModifiedBy>Horváth Aisa HA.</cp:lastModifiedBy>
  <cp:revision>2</cp:revision>
  <cp:lastPrinted>2022-05-16T05:38:00Z</cp:lastPrinted>
  <dcterms:created xsi:type="dcterms:W3CDTF">2022-05-18T11:54:00Z</dcterms:created>
  <dcterms:modified xsi:type="dcterms:W3CDTF">2022-05-18T11:54:00Z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0x01010074075CCDC66C5B4EBEBBD1588F27746D</vt:lpwstr>
  </property>
</Properties>
</file>